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32" w:rsidRPr="00321A32" w:rsidRDefault="00321A32" w:rsidP="00321A3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1A32">
        <w:rPr>
          <w:rFonts w:ascii="宋体" w:eastAsia="宋体" w:hAnsi="宋体" w:cs="宋体"/>
          <w:b/>
          <w:bCs/>
          <w:kern w:val="0"/>
          <w:sz w:val="36"/>
        </w:rPr>
        <w:t>质量工作考核要点</w:t>
      </w:r>
    </w:p>
    <w:tbl>
      <w:tblPr>
        <w:tblW w:w="9450" w:type="dxa"/>
        <w:jc w:val="center"/>
        <w:tblBorders>
          <w:top w:val="single" w:sz="4" w:space="0" w:color="0A0A0A"/>
          <w:left w:val="single" w:sz="4" w:space="0" w:color="0A0A0A"/>
          <w:bottom w:val="single" w:sz="4" w:space="0" w:color="0A0A0A"/>
          <w:right w:val="single" w:sz="4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62"/>
        <w:gridCol w:w="551"/>
        <w:gridCol w:w="1052"/>
        <w:gridCol w:w="4608"/>
        <w:gridCol w:w="877"/>
      </w:tblGrid>
      <w:tr w:rsidR="00321A32" w:rsidRPr="00321A32" w:rsidTr="00321A3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考核内容</w:t>
            </w:r>
          </w:p>
        </w:tc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考核指标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考核要点</w:t>
            </w: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质量目标</w:t>
            </w: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（40分）</w:t>
            </w:r>
          </w:p>
        </w:tc>
        <w:tc>
          <w:tcPr>
            <w:tcW w:w="5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产品质量量化指标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制造业产品质量合格率</w:t>
            </w:r>
          </w:p>
        </w:tc>
        <w:tc>
          <w:tcPr>
            <w:tcW w:w="8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相关考核目标设置、统计方案、评价方法、评分标准、实施细则等由联席会议另行制定，并根据年度质量工作进展适当调整。</w:t>
            </w: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主要农产品质</w:t>
            </w:r>
            <w:proofErr w:type="gramStart"/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量安全</w:t>
            </w:r>
            <w:proofErr w:type="gramEnd"/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监测合格率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工程质量量化指标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建筑工程竣工验收合格率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质量措施</w:t>
            </w: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（60分）</w:t>
            </w:r>
          </w:p>
        </w:tc>
        <w:tc>
          <w:tcPr>
            <w:tcW w:w="5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质量宏观管理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质量发展规划制定与实施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质量工作协调机制建立与运行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品牌发展战略实施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质量统计分析制度建立与开展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质量投入机制运行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行业准入及产业政策落实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质量安全监管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质量监管能力和制度建设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打击假冒伪劣及专项整治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质量诚信建设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质量安全风险管理机制建设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消费者维</w:t>
            </w:r>
            <w:proofErr w:type="gramStart"/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权机制</w:t>
            </w:r>
            <w:proofErr w:type="gramEnd"/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产品质量监管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工程质量监管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服务质量监管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质量基础建设</w:t>
            </w: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标准、计量、认证认可基础建设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检验检测技术能力建设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口岸检验检疫综合能力建设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质量人才队伍建设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A32" w:rsidRPr="00321A32" w:rsidTr="00321A3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A32">
              <w:rPr>
                <w:rFonts w:ascii="宋体" w:eastAsia="宋体" w:hAnsi="宋体" w:cs="宋体"/>
                <w:kern w:val="0"/>
                <w:sz w:val="20"/>
                <w:szCs w:val="20"/>
              </w:rPr>
              <w:t>发生区域性、系统性产品质量安全事件的，考核结果一律为D级。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21A32" w:rsidRPr="00321A32" w:rsidRDefault="00321A32" w:rsidP="00321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160D" w:rsidRPr="00321A32" w:rsidRDefault="0001160D"/>
    <w:sectPr w:rsidR="0001160D" w:rsidRPr="00321A32" w:rsidSect="00321A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A32"/>
    <w:rsid w:val="0001160D"/>
    <w:rsid w:val="0032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2014-04-16T08:30:00Z</dcterms:created>
  <dcterms:modified xsi:type="dcterms:W3CDTF">2014-04-16T08:32:00Z</dcterms:modified>
</cp:coreProperties>
</file>